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37A5DF89" w:rsidR="00294713" w:rsidRDefault="00D67511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Inspection and interpretation of CXR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28FFAF30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2A5B37" w14:textId="29BF8A45" w:rsidR="00047D16" w:rsidRPr="000143D8" w:rsidRDefault="00837A89" w:rsidP="000143D8">
            <w:pPr>
              <w:pStyle w:val="BodyText2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Inspection and interpretation of </w:t>
            </w:r>
            <w:r w:rsidR="00D67511">
              <w:rPr>
                <w:sz w:val="22"/>
                <w:szCs w:val="22"/>
                <w:lang w:val="en-GB"/>
              </w:rPr>
              <w:t>C</w:t>
            </w:r>
            <w:r>
              <w:rPr>
                <w:sz w:val="22"/>
                <w:szCs w:val="22"/>
                <w:lang w:val="en-GB"/>
              </w:rPr>
              <w:t>XR</w:t>
            </w: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3FDA8B5D" w:rsidR="00F45027" w:rsidRPr="000E22A6" w:rsidRDefault="002538DC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Annotation</w:t>
            </w:r>
          </w:p>
          <w:p w14:paraId="243390AF" w14:textId="4EF811CE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Patient </w:t>
            </w:r>
            <w:r>
              <w:rPr>
                <w:b w:val="0"/>
                <w:sz w:val="22"/>
                <w:szCs w:val="22"/>
                <w:lang w:val="en-GB"/>
              </w:rPr>
              <w:t>n</w:t>
            </w:r>
            <w:r w:rsidRPr="002538DC">
              <w:rPr>
                <w:b w:val="0"/>
                <w:sz w:val="22"/>
                <w:szCs w:val="22"/>
                <w:lang w:val="en-GB"/>
              </w:rPr>
              <w:t>ame</w:t>
            </w:r>
          </w:p>
          <w:p w14:paraId="6942485D" w14:textId="4E4011C6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Correct </w:t>
            </w:r>
            <w:r>
              <w:rPr>
                <w:b w:val="0"/>
                <w:sz w:val="22"/>
                <w:szCs w:val="22"/>
                <w:lang w:val="en-GB"/>
              </w:rPr>
              <w:t>d</w:t>
            </w:r>
            <w:r w:rsidRPr="002538DC">
              <w:rPr>
                <w:b w:val="0"/>
                <w:sz w:val="22"/>
                <w:szCs w:val="22"/>
                <w:lang w:val="en-GB"/>
              </w:rPr>
              <w:t>ate</w:t>
            </w:r>
            <w:bookmarkStart w:id="0" w:name="_GoBack"/>
            <w:bookmarkEnd w:id="0"/>
          </w:p>
          <w:p w14:paraId="2EDEF9DE" w14:textId="4342A9AA" w:rsidR="002538DC" w:rsidRPr="002538DC" w:rsidRDefault="002538DC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Pr="002538DC">
              <w:rPr>
                <w:b w:val="0"/>
                <w:sz w:val="22"/>
                <w:szCs w:val="22"/>
                <w:lang w:val="en-GB"/>
              </w:rPr>
              <w:t>rojection/</w:t>
            </w: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Pr="002538DC">
              <w:rPr>
                <w:b w:val="0"/>
                <w:sz w:val="22"/>
                <w:szCs w:val="22"/>
                <w:lang w:val="en-GB"/>
              </w:rPr>
              <w:t>iew</w:t>
            </w:r>
          </w:p>
          <w:p w14:paraId="34F65584" w14:textId="127643F7" w:rsidR="00B24F99" w:rsidRPr="00B90BAD" w:rsidRDefault="002538DC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 xml:space="preserve">Correct 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2538DC">
              <w:rPr>
                <w:b w:val="0"/>
                <w:sz w:val="22"/>
                <w:szCs w:val="22"/>
                <w:lang w:val="en-GB"/>
              </w:rPr>
              <w:t>eft/right labe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2538DC">
              <w:rPr>
                <w:b w:val="0"/>
                <w:sz w:val="22"/>
                <w:szCs w:val="22"/>
                <w:lang w:val="en-GB"/>
              </w:rPr>
              <w:t>ling identified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51FEEDD4" w14:textId="77777777" w:rsidTr="00047D16">
        <w:tc>
          <w:tcPr>
            <w:tcW w:w="562" w:type="dxa"/>
          </w:tcPr>
          <w:p w14:paraId="681ECBA7" w14:textId="294EFBDC" w:rsidR="002538DC" w:rsidRPr="002538DC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4102320E" w14:textId="1460FAFD" w:rsidR="002538DC" w:rsidRPr="002538DC" w:rsidRDefault="002538DC" w:rsidP="002538D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Alignment</w:t>
            </w:r>
          </w:p>
          <w:p w14:paraId="0C470C72" w14:textId="61FC5951" w:rsidR="002538DC" w:rsidRPr="002538DC" w:rsidRDefault="00B90BAD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Trachea</w:t>
            </w:r>
          </w:p>
          <w:p w14:paraId="1CB51E39" w14:textId="53E71CC1" w:rsidR="002538DC" w:rsidRPr="002538DC" w:rsidRDefault="00B90BAD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Clavicles</w:t>
            </w:r>
          </w:p>
          <w:p w14:paraId="0077A79A" w14:textId="6A02DC7A" w:rsidR="002538DC" w:rsidRPr="002538DC" w:rsidRDefault="00B90BAD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Spinal processes</w:t>
            </w:r>
          </w:p>
        </w:tc>
        <w:tc>
          <w:tcPr>
            <w:tcW w:w="1277" w:type="dxa"/>
          </w:tcPr>
          <w:p w14:paraId="096581EF" w14:textId="77777777" w:rsidR="002538DC" w:rsidRPr="00E70C03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EB81341" w14:textId="77777777" w:rsidTr="005F6460">
        <w:tc>
          <w:tcPr>
            <w:tcW w:w="562" w:type="dxa"/>
          </w:tcPr>
          <w:p w14:paraId="579F2C50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70C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CED3201" w14:textId="67896B90" w:rsidR="002538DC" w:rsidRDefault="002538DC" w:rsidP="002538DC">
            <w:pPr>
              <w:pStyle w:val="BodyText2"/>
              <w:rPr>
                <w:rFonts w:cs="Times New Roman"/>
                <w:b w:val="0"/>
                <w:bCs w:val="0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Opacity</w:t>
            </w:r>
          </w:p>
          <w:p w14:paraId="0FD3D0D8" w14:textId="77777777" w:rsidR="00B90BAD" w:rsidRPr="00B90BAD" w:rsidRDefault="00B90BAD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>Identify vertebral bodies</w:t>
            </w:r>
          </w:p>
          <w:p w14:paraId="4BFFA551" w14:textId="77777777" w:rsidR="00B90BAD" w:rsidRPr="00B90BAD" w:rsidRDefault="00B90BAD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>Identify the ribs</w:t>
            </w:r>
          </w:p>
          <w:p w14:paraId="5BCB4FBB" w14:textId="43E052C3" w:rsidR="002538DC" w:rsidRPr="002538DC" w:rsidRDefault="002538DC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538DC">
              <w:rPr>
                <w:b w:val="0"/>
                <w:sz w:val="22"/>
                <w:szCs w:val="22"/>
                <w:lang w:val="en-GB"/>
              </w:rPr>
              <w:t>Confirm correct exposure to proceed with interpretation</w:t>
            </w:r>
          </w:p>
        </w:tc>
        <w:tc>
          <w:tcPr>
            <w:tcW w:w="1277" w:type="dxa"/>
          </w:tcPr>
          <w:p w14:paraId="21BEA821" w14:textId="77777777" w:rsidR="002538DC" w:rsidRPr="00E70C03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2538DC" w:rsidRPr="00E70C03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0C1FB345" w14:textId="77777777" w:rsidTr="005F6460">
        <w:tc>
          <w:tcPr>
            <w:tcW w:w="562" w:type="dxa"/>
          </w:tcPr>
          <w:p w14:paraId="24F92AC2" w14:textId="5DA8299A" w:rsidR="002538DC" w:rsidRPr="002538DC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4A0F73CF" w14:textId="530BBF30" w:rsidR="002538DC" w:rsidRPr="002538DC" w:rsidRDefault="00B90BAD" w:rsidP="002538DC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="002538DC" w:rsidRPr="002538DC">
              <w:rPr>
                <w:b w:val="0"/>
                <w:sz w:val="22"/>
                <w:szCs w:val="22"/>
                <w:lang w:val="en-GB"/>
              </w:rPr>
              <w:t xml:space="preserve">eview </w:t>
            </w:r>
            <w:r>
              <w:rPr>
                <w:b w:val="0"/>
                <w:sz w:val="22"/>
                <w:szCs w:val="22"/>
                <w:lang w:val="en-GB"/>
              </w:rPr>
              <w:t>of lung fields</w:t>
            </w:r>
          </w:p>
          <w:p w14:paraId="79B6E9AC" w14:textId="3A510421" w:rsidR="00B90BAD" w:rsidRPr="00B90BAD" w:rsidRDefault="00B90BAD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 xml:space="preserve">Identify the </w:t>
            </w:r>
            <w:r>
              <w:rPr>
                <w:b w:val="0"/>
                <w:sz w:val="22"/>
                <w:szCs w:val="22"/>
                <w:lang w:val="en-GB"/>
              </w:rPr>
              <w:t>t</w:t>
            </w:r>
            <w:r w:rsidRPr="00B90BAD">
              <w:rPr>
                <w:b w:val="0"/>
                <w:sz w:val="22"/>
                <w:szCs w:val="22"/>
                <w:lang w:val="en-GB"/>
              </w:rPr>
              <w:t>rachea</w:t>
            </w:r>
          </w:p>
          <w:p w14:paraId="792F7739" w14:textId="2A8EF71A" w:rsidR="00B90BAD" w:rsidRPr="00B90BAD" w:rsidRDefault="00B90BAD" w:rsidP="00B90BAD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 xml:space="preserve">Identify if ET tube in situ and position in relation to the </w:t>
            </w: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Pr="00B90BAD">
              <w:rPr>
                <w:b w:val="0"/>
                <w:sz w:val="22"/>
                <w:szCs w:val="22"/>
                <w:lang w:val="en-GB"/>
              </w:rPr>
              <w:t>arina</w:t>
            </w:r>
          </w:p>
          <w:p w14:paraId="0C741C8A" w14:textId="0D261BD1" w:rsidR="00D85FEE" w:rsidRPr="003150AB" w:rsidRDefault="00B90BAD" w:rsidP="00D85FE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>Demonstrate the systematic review of each lung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1D3F9D2C" w14:textId="26E4AFF2" w:rsidR="00B90BAD" w:rsidRPr="00B90BAD" w:rsidRDefault="00F57BE1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</w:t>
            </w:r>
            <w:r w:rsidR="00B90BAD" w:rsidRPr="00B90BAD">
              <w:rPr>
                <w:b w:val="0"/>
                <w:sz w:val="22"/>
                <w:szCs w:val="22"/>
                <w:lang w:val="en-GB"/>
              </w:rPr>
              <w:t>ila</w:t>
            </w:r>
          </w:p>
          <w:p w14:paraId="2C7D5F07" w14:textId="081E6E98" w:rsidR="00B90BAD" w:rsidRPr="00B90BAD" w:rsidRDefault="00F57BE1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="00B90BAD" w:rsidRPr="00B90BAD">
              <w:rPr>
                <w:b w:val="0"/>
                <w:sz w:val="22"/>
                <w:szCs w:val="22"/>
                <w:lang w:val="en-GB"/>
              </w:rPr>
              <w:t>ung markings</w:t>
            </w:r>
          </w:p>
          <w:p w14:paraId="60B3524D" w14:textId="363FE59F" w:rsidR="00B90BAD" w:rsidRPr="00B90BAD" w:rsidRDefault="00F57BE1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="00B90BAD" w:rsidRPr="00B90BAD">
              <w:rPr>
                <w:b w:val="0"/>
                <w:sz w:val="22"/>
                <w:szCs w:val="22"/>
                <w:lang w:val="en-GB"/>
              </w:rPr>
              <w:t>ostophrenic and cardiophrenic angles</w:t>
            </w:r>
          </w:p>
          <w:p w14:paraId="5A694E1B" w14:textId="751E064E" w:rsidR="00B90BAD" w:rsidRPr="00B90BAD" w:rsidRDefault="00F57BE1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</w:t>
            </w:r>
            <w:r w:rsidR="00B90BAD" w:rsidRPr="00B90BAD">
              <w:rPr>
                <w:b w:val="0"/>
                <w:sz w:val="22"/>
                <w:szCs w:val="22"/>
                <w:lang w:val="en-GB"/>
              </w:rPr>
              <w:t>emi diaphragms</w:t>
            </w:r>
          </w:p>
          <w:p w14:paraId="14E63E7F" w14:textId="7A03A98C" w:rsidR="00B90BAD" w:rsidRPr="00B90BAD" w:rsidRDefault="00B90BAD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B90BAD">
              <w:rPr>
                <w:b w:val="0"/>
                <w:sz w:val="22"/>
                <w:szCs w:val="22"/>
                <w:lang w:val="en-GB"/>
              </w:rPr>
              <w:t>Homogeneity</w:t>
            </w:r>
          </w:p>
          <w:p w14:paraId="1AEBAB7F" w14:textId="08685F72" w:rsidR="002538DC" w:rsidRPr="00102D70" w:rsidRDefault="00F57BE1" w:rsidP="003150AB">
            <w:pPr>
              <w:pStyle w:val="BodyText2"/>
              <w:numPr>
                <w:ilvl w:val="0"/>
                <w:numId w:val="31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="00B90BAD" w:rsidRPr="00B90BAD">
              <w:rPr>
                <w:b w:val="0"/>
                <w:sz w:val="22"/>
                <w:szCs w:val="22"/>
                <w:lang w:val="en-GB"/>
              </w:rPr>
              <w:t>omment of findings/normal/abnormal</w:t>
            </w:r>
          </w:p>
        </w:tc>
        <w:tc>
          <w:tcPr>
            <w:tcW w:w="1277" w:type="dxa"/>
          </w:tcPr>
          <w:p w14:paraId="5E1EF044" w14:textId="77777777" w:rsidR="002538DC" w:rsidRPr="00B36C8F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2538DC" w:rsidRPr="00B36C8F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2538DC" w:rsidRPr="00B36C8F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05DED47" w14:textId="77777777" w:rsidTr="005F6460">
        <w:tc>
          <w:tcPr>
            <w:tcW w:w="562" w:type="dxa"/>
          </w:tcPr>
          <w:p w14:paraId="7E313490" w14:textId="12FDF755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A866290" w14:textId="5C948421" w:rsidR="004551B6" w:rsidRPr="002538DC" w:rsidRDefault="004551B6" w:rsidP="004551B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Pr="002538DC">
              <w:rPr>
                <w:b w:val="0"/>
                <w:sz w:val="22"/>
                <w:szCs w:val="22"/>
                <w:lang w:val="en-GB"/>
              </w:rPr>
              <w:t xml:space="preserve">eview </w:t>
            </w:r>
            <w:r>
              <w:rPr>
                <w:b w:val="0"/>
                <w:sz w:val="22"/>
                <w:szCs w:val="22"/>
                <w:lang w:val="en-GB"/>
              </w:rPr>
              <w:t xml:space="preserve">of </w:t>
            </w:r>
            <w:r>
              <w:rPr>
                <w:b w:val="0"/>
                <w:sz w:val="22"/>
                <w:szCs w:val="22"/>
                <w:lang w:val="en-GB"/>
              </w:rPr>
              <w:t>heart and mediastinum</w:t>
            </w:r>
          </w:p>
          <w:p w14:paraId="50800168" w14:textId="2B896A2A" w:rsidR="004551B6" w:rsidRPr="00B90BAD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Heart size</w:t>
            </w:r>
          </w:p>
          <w:p w14:paraId="59C2DD7A" w14:textId="6C6F73C5" w:rsidR="004551B6" w:rsidRPr="00B90BAD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Aortic arch</w:t>
            </w:r>
          </w:p>
          <w:p w14:paraId="36EAB9A6" w14:textId="416AB36F" w:rsidR="002538DC" w:rsidRPr="002538DC" w:rsidRDefault="004551B6" w:rsidP="002538DC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 xml:space="preserve">Cardiac 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  <w:r w:rsidRPr="004551B6">
              <w:rPr>
                <w:b w:val="0"/>
                <w:sz w:val="22"/>
                <w:szCs w:val="22"/>
                <w:lang w:val="en-GB"/>
              </w:rPr>
              <w:t>ilhouette – cardiothoracic ratio</w:t>
            </w:r>
          </w:p>
        </w:tc>
        <w:tc>
          <w:tcPr>
            <w:tcW w:w="1277" w:type="dxa"/>
          </w:tcPr>
          <w:p w14:paraId="65E0E879" w14:textId="77777777" w:rsidR="002538DC" w:rsidRPr="003A62E9" w:rsidRDefault="002538DC" w:rsidP="002538DC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538DC" w:rsidRPr="00841137" w14:paraId="4FE16F7F" w14:textId="77777777" w:rsidTr="00047D16">
        <w:tc>
          <w:tcPr>
            <w:tcW w:w="562" w:type="dxa"/>
          </w:tcPr>
          <w:p w14:paraId="0E3693C0" w14:textId="6CD986CC" w:rsidR="002538DC" w:rsidRPr="001858E8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0CE31956" w14:textId="072E2BB5" w:rsidR="002538DC" w:rsidRPr="004551B6" w:rsidRDefault="002538DC" w:rsidP="004551B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Confirmation of correct line positions</w:t>
            </w:r>
          </w:p>
          <w:p w14:paraId="2554F60D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ET tube</w:t>
            </w:r>
          </w:p>
          <w:p w14:paraId="4770252B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4551B6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</w:p>
          <w:p w14:paraId="344EB14C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PA line</w:t>
            </w:r>
          </w:p>
          <w:p w14:paraId="49F47FCF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IABP</w:t>
            </w:r>
          </w:p>
          <w:p w14:paraId="43D801D0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 xml:space="preserve">Chest </w:t>
            </w:r>
            <w:proofErr w:type="gramStart"/>
            <w:r w:rsidRPr="004551B6">
              <w:rPr>
                <w:b w:val="0"/>
                <w:sz w:val="22"/>
                <w:szCs w:val="22"/>
                <w:lang w:val="en-GB"/>
              </w:rPr>
              <w:t>drain</w:t>
            </w:r>
            <w:proofErr w:type="gramEnd"/>
          </w:p>
          <w:p w14:paraId="50CA6BB1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NG tube</w:t>
            </w:r>
          </w:p>
          <w:p w14:paraId="00924B0F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Sternal wires</w:t>
            </w:r>
          </w:p>
          <w:p w14:paraId="07562531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Prosthetic heart values</w:t>
            </w:r>
          </w:p>
          <w:p w14:paraId="5ECEEA44" w14:textId="2E56D917" w:rsidR="002538DC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Devices</w:t>
            </w:r>
          </w:p>
        </w:tc>
        <w:tc>
          <w:tcPr>
            <w:tcW w:w="1277" w:type="dxa"/>
          </w:tcPr>
          <w:p w14:paraId="42FE116A" w14:textId="77777777" w:rsidR="002538DC" w:rsidRPr="000E22A6" w:rsidRDefault="002538DC" w:rsidP="002538DC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2538DC" w:rsidRPr="000E22A6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2538DC" w:rsidRPr="000E22A6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2538DC" w:rsidRPr="005D5C27" w14:paraId="0DA408B2" w14:textId="77777777" w:rsidTr="007D70D1">
        <w:trPr>
          <w:trHeight w:val="21"/>
        </w:trPr>
        <w:tc>
          <w:tcPr>
            <w:tcW w:w="562" w:type="dxa"/>
          </w:tcPr>
          <w:p w14:paraId="4D7BE210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62E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3299059" w14:textId="77777777" w:rsidR="002538DC" w:rsidRDefault="002538DC" w:rsidP="002538DC">
            <w:pPr>
              <w:rPr>
                <w:b/>
                <w:bCs/>
                <w:sz w:val="18"/>
                <w:szCs w:val="18"/>
              </w:rPr>
            </w:pPr>
            <w:r w:rsidRPr="002538DC">
              <w:rPr>
                <w:bCs/>
                <w:color w:val="000000"/>
                <w:sz w:val="22"/>
                <w:szCs w:val="22"/>
                <w:lang w:eastAsia="en-GB"/>
              </w:rPr>
              <w:t>Interpretation</w:t>
            </w:r>
          </w:p>
          <w:p w14:paraId="6C934A38" w14:textId="4D95196E" w:rsidR="002538DC" w:rsidRPr="002538DC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ET tube</w:t>
            </w:r>
            <w:r w:rsidR="002538DC" w:rsidRPr="002538DC">
              <w:rPr>
                <w:b w:val="0"/>
                <w:sz w:val="22"/>
                <w:szCs w:val="22"/>
                <w:lang w:val="en-GB"/>
              </w:rPr>
              <w:t xml:space="preserve"> incorrectly placed</w:t>
            </w:r>
          </w:p>
          <w:p w14:paraId="55ADF2BF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lastRenderedPageBreak/>
              <w:t>Consolidation</w:t>
            </w:r>
          </w:p>
          <w:p w14:paraId="0D466181" w14:textId="067A64ED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 xml:space="preserve">Pulmonary </w:t>
            </w:r>
            <w:r>
              <w:rPr>
                <w:b w:val="0"/>
                <w:sz w:val="22"/>
                <w:szCs w:val="22"/>
                <w:lang w:val="en-GB"/>
              </w:rPr>
              <w:t>o</w:t>
            </w:r>
            <w:r w:rsidRPr="004551B6">
              <w:rPr>
                <w:b w:val="0"/>
                <w:sz w:val="22"/>
                <w:szCs w:val="22"/>
                <w:lang w:val="en-GB"/>
              </w:rPr>
              <w:t>edema</w:t>
            </w:r>
          </w:p>
          <w:p w14:paraId="60175CB7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Pleural effusion</w:t>
            </w:r>
          </w:p>
          <w:p w14:paraId="7B4CC3ED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Pneumothorax</w:t>
            </w:r>
          </w:p>
          <w:p w14:paraId="4B054712" w14:textId="77777777" w:rsidR="004551B6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Haemothorax</w:t>
            </w:r>
          </w:p>
          <w:p w14:paraId="6054C547" w14:textId="404F32B5" w:rsidR="002538DC" w:rsidRPr="004551B6" w:rsidRDefault="004551B6" w:rsidP="004551B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551B6">
              <w:rPr>
                <w:b w:val="0"/>
                <w:sz w:val="22"/>
                <w:szCs w:val="22"/>
                <w:lang w:val="en-GB"/>
              </w:rPr>
              <w:t>Unexplained shadowing/suspected neoplasm</w:t>
            </w:r>
          </w:p>
        </w:tc>
        <w:tc>
          <w:tcPr>
            <w:tcW w:w="1277" w:type="dxa"/>
          </w:tcPr>
          <w:p w14:paraId="2F2127BC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FE2333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1993572" w14:textId="77777777" w:rsidR="002538DC" w:rsidRPr="003A62E9" w:rsidRDefault="002538DC" w:rsidP="002538D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1E5CAAEB" w14:textId="7437E23F" w:rsidR="00B90BAD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 xml:space="preserve"> – </w:t>
            </w:r>
            <w:r w:rsidR="00D67511" w:rsidRPr="00D67511">
              <w:rPr>
                <w:bCs/>
                <w:sz w:val="22"/>
                <w:szCs w:val="22"/>
              </w:rPr>
              <w:t xml:space="preserve">Demonstrates that the practitioner has ordered the </w:t>
            </w:r>
            <w:r w:rsidR="00B90BAD">
              <w:rPr>
                <w:bCs/>
                <w:sz w:val="22"/>
                <w:szCs w:val="22"/>
              </w:rPr>
              <w:t>CXR</w:t>
            </w:r>
            <w:r w:rsidR="00D67511" w:rsidRPr="00D67511">
              <w:rPr>
                <w:bCs/>
                <w:sz w:val="22"/>
                <w:szCs w:val="22"/>
              </w:rPr>
              <w:t xml:space="preserve"> appropriately in accordance with postoperative protocol or based on abnormal clinical findings.</w:t>
            </w:r>
          </w:p>
          <w:p w14:paraId="73F6DBFC" w14:textId="42842E02" w:rsidR="00B90BAD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Demonstrates that the practitioner has review the </w:t>
            </w:r>
            <w:r w:rsidR="00B90BAD">
              <w:rPr>
                <w:bCs/>
                <w:sz w:val="22"/>
                <w:szCs w:val="22"/>
              </w:rPr>
              <w:t>CXR</w:t>
            </w:r>
            <w:r w:rsidRPr="00D67511">
              <w:rPr>
                <w:bCs/>
                <w:sz w:val="22"/>
                <w:szCs w:val="22"/>
              </w:rPr>
              <w:t xml:space="preserve"> in a systematic way</w:t>
            </w:r>
            <w:r w:rsidR="00B90BAD">
              <w:rPr>
                <w:bCs/>
                <w:sz w:val="22"/>
                <w:szCs w:val="22"/>
              </w:rPr>
              <w:t>,</w:t>
            </w:r>
            <w:r w:rsidRPr="00D67511">
              <w:rPr>
                <w:bCs/>
                <w:sz w:val="22"/>
                <w:szCs w:val="22"/>
              </w:rPr>
              <w:t xml:space="preserve"> and ensures they have identified the correct legal and clinical aspects.</w:t>
            </w:r>
          </w:p>
          <w:p w14:paraId="5049DCA2" w14:textId="77777777" w:rsidR="00B90BAD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The practitioner comments on the findings in relation to previous </w:t>
            </w:r>
            <w:proofErr w:type="spellStart"/>
            <w:r w:rsidRPr="00D67511">
              <w:rPr>
                <w:bCs/>
                <w:sz w:val="22"/>
                <w:szCs w:val="22"/>
              </w:rPr>
              <w:t>CXRs</w:t>
            </w:r>
            <w:proofErr w:type="spellEnd"/>
            <w:r w:rsidRPr="00D67511">
              <w:rPr>
                <w:bCs/>
                <w:sz w:val="22"/>
                <w:szCs w:val="22"/>
              </w:rPr>
              <w:t>.</w:t>
            </w:r>
          </w:p>
          <w:p w14:paraId="41AD0FCC" w14:textId="5582F8D4" w:rsidR="002538DC" w:rsidRPr="00841137" w:rsidRDefault="00D67511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67511">
              <w:rPr>
                <w:bCs/>
                <w:sz w:val="22"/>
                <w:szCs w:val="22"/>
              </w:rPr>
              <w:t xml:space="preserve">The practitioner is able to verbalise the correct course of action that should be taken if </w:t>
            </w:r>
            <w:r w:rsidR="00B90BAD">
              <w:rPr>
                <w:bCs/>
                <w:sz w:val="22"/>
                <w:szCs w:val="22"/>
              </w:rPr>
              <w:t xml:space="preserve">there are </w:t>
            </w:r>
            <w:r w:rsidRPr="00D67511">
              <w:rPr>
                <w:bCs/>
                <w:sz w:val="22"/>
                <w:szCs w:val="22"/>
              </w:rPr>
              <w:t>any abnormal findings, to include communication with the multidisciplinary team and the documentation according to the practitioner</w:t>
            </w:r>
            <w:r w:rsidR="00B90BAD">
              <w:rPr>
                <w:bCs/>
                <w:sz w:val="22"/>
                <w:szCs w:val="22"/>
              </w:rPr>
              <w:t>’</w:t>
            </w:r>
            <w:r w:rsidRPr="00D67511">
              <w:rPr>
                <w:bCs/>
                <w:sz w:val="22"/>
                <w:szCs w:val="22"/>
              </w:rPr>
              <w:t>s professional body and code of conduct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249078BE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574E17F" w14:textId="77777777" w:rsidR="002538DC" w:rsidRPr="005D5C27" w:rsidRDefault="002538D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0B30C255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89BEEC6" w14:textId="41240F1A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4B80" w14:textId="77777777" w:rsidR="005C3449" w:rsidRDefault="005C3449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E4C14A" w14:textId="77777777" w:rsidR="005C3449" w:rsidRDefault="005C344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72AE3" w14:textId="77777777" w:rsidR="005C3449" w:rsidRDefault="005C3449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41CBE8" w14:textId="77777777" w:rsidR="005C3449" w:rsidRDefault="005C344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18"/>
  </w:num>
  <w:num w:numId="5">
    <w:abstractNumId w:val="16"/>
  </w:num>
  <w:num w:numId="6">
    <w:abstractNumId w:val="21"/>
  </w:num>
  <w:num w:numId="7">
    <w:abstractNumId w:val="13"/>
  </w:num>
  <w:num w:numId="8">
    <w:abstractNumId w:val="12"/>
  </w:num>
  <w:num w:numId="9">
    <w:abstractNumId w:val="22"/>
  </w:num>
  <w:num w:numId="10">
    <w:abstractNumId w:val="6"/>
  </w:num>
  <w:num w:numId="11">
    <w:abstractNumId w:val="20"/>
  </w:num>
  <w:num w:numId="12">
    <w:abstractNumId w:val="30"/>
  </w:num>
  <w:num w:numId="13">
    <w:abstractNumId w:val="15"/>
  </w:num>
  <w:num w:numId="14">
    <w:abstractNumId w:val="27"/>
  </w:num>
  <w:num w:numId="15">
    <w:abstractNumId w:val="11"/>
  </w:num>
  <w:num w:numId="16">
    <w:abstractNumId w:val="7"/>
  </w:num>
  <w:num w:numId="17">
    <w:abstractNumId w:val="10"/>
  </w:num>
  <w:num w:numId="18">
    <w:abstractNumId w:val="29"/>
  </w:num>
  <w:num w:numId="19">
    <w:abstractNumId w:val="8"/>
  </w:num>
  <w:num w:numId="20">
    <w:abstractNumId w:val="23"/>
  </w:num>
  <w:num w:numId="21">
    <w:abstractNumId w:val="2"/>
  </w:num>
  <w:num w:numId="22">
    <w:abstractNumId w:val="5"/>
  </w:num>
  <w:num w:numId="23">
    <w:abstractNumId w:val="0"/>
  </w:num>
  <w:num w:numId="24">
    <w:abstractNumId w:val="19"/>
  </w:num>
  <w:num w:numId="25">
    <w:abstractNumId w:val="17"/>
  </w:num>
  <w:num w:numId="26">
    <w:abstractNumId w:val="26"/>
  </w:num>
  <w:num w:numId="27">
    <w:abstractNumId w:val="1"/>
  </w:num>
  <w:num w:numId="28">
    <w:abstractNumId w:val="24"/>
  </w:num>
  <w:num w:numId="29">
    <w:abstractNumId w:val="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E22A6"/>
    <w:rsid w:val="000F6924"/>
    <w:rsid w:val="00102D70"/>
    <w:rsid w:val="0010380D"/>
    <w:rsid w:val="0013642C"/>
    <w:rsid w:val="001372FB"/>
    <w:rsid w:val="0017606C"/>
    <w:rsid w:val="001858E8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414ECB"/>
    <w:rsid w:val="00423CAA"/>
    <w:rsid w:val="00427DE8"/>
    <w:rsid w:val="00450524"/>
    <w:rsid w:val="004522B9"/>
    <w:rsid w:val="004551B6"/>
    <w:rsid w:val="00497312"/>
    <w:rsid w:val="004A1851"/>
    <w:rsid w:val="004B336B"/>
    <w:rsid w:val="004B7D0A"/>
    <w:rsid w:val="004E5162"/>
    <w:rsid w:val="00503AAA"/>
    <w:rsid w:val="00512FB0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7A89"/>
    <w:rsid w:val="00841137"/>
    <w:rsid w:val="0086226E"/>
    <w:rsid w:val="008A61EF"/>
    <w:rsid w:val="008F1276"/>
    <w:rsid w:val="008F278A"/>
    <w:rsid w:val="00944E27"/>
    <w:rsid w:val="00962446"/>
    <w:rsid w:val="0097663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86B9A"/>
    <w:rsid w:val="00B90BAD"/>
    <w:rsid w:val="00BA54BE"/>
    <w:rsid w:val="00BD1367"/>
    <w:rsid w:val="00BD396C"/>
    <w:rsid w:val="00BD541A"/>
    <w:rsid w:val="00C1364E"/>
    <w:rsid w:val="00C21424"/>
    <w:rsid w:val="00C2709C"/>
    <w:rsid w:val="00C33CF7"/>
    <w:rsid w:val="00C4020E"/>
    <w:rsid w:val="00C65E5F"/>
    <w:rsid w:val="00C93769"/>
    <w:rsid w:val="00CB1FD6"/>
    <w:rsid w:val="00CC3204"/>
    <w:rsid w:val="00CC59ED"/>
    <w:rsid w:val="00CC7B8B"/>
    <w:rsid w:val="00CF303A"/>
    <w:rsid w:val="00D073C7"/>
    <w:rsid w:val="00D331F6"/>
    <w:rsid w:val="00D5008B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40AF1"/>
    <w:rsid w:val="00E57BE6"/>
    <w:rsid w:val="00E67434"/>
    <w:rsid w:val="00E70C03"/>
    <w:rsid w:val="00E81C9D"/>
    <w:rsid w:val="00E97237"/>
    <w:rsid w:val="00F20E5D"/>
    <w:rsid w:val="00F21C6B"/>
    <w:rsid w:val="00F45027"/>
    <w:rsid w:val="00F52E61"/>
    <w:rsid w:val="00F57BE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8</cp:revision>
  <cp:lastPrinted>2010-04-13T13:16:00Z</cp:lastPrinted>
  <dcterms:created xsi:type="dcterms:W3CDTF">2021-04-22T07:57:00Z</dcterms:created>
  <dcterms:modified xsi:type="dcterms:W3CDTF">2021-04-22T08:18:00Z</dcterms:modified>
</cp:coreProperties>
</file>